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70" w:rsidRPr="00841476" w:rsidRDefault="00585B70" w:rsidP="00585B70">
      <w:pPr>
        <w:shd w:val="clear" w:color="auto" w:fill="FFFFFF"/>
        <w:spacing w:before="300" w:after="150" w:line="240" w:lineRule="auto"/>
        <w:outlineLvl w:val="1"/>
        <w:rPr>
          <w:rFonts w:eastAsia="Times New Roman" w:cstheme="minorHAnsi"/>
          <w:color w:val="000000"/>
          <w:sz w:val="20"/>
          <w:szCs w:val="20"/>
          <w:lang w:eastAsia="de-DE"/>
        </w:rPr>
      </w:pPr>
      <w:r w:rsidRPr="00841476">
        <w:rPr>
          <w:rFonts w:eastAsia="Times New Roman" w:cstheme="minorHAnsi"/>
          <w:color w:val="000000"/>
          <w:sz w:val="20"/>
          <w:szCs w:val="20"/>
          <w:lang w:eastAsia="de-DE"/>
        </w:rPr>
        <w:t xml:space="preserve">                                    </w:t>
      </w:r>
      <w:r>
        <w:rPr>
          <w:rFonts w:eastAsia="Times New Roman" w:cstheme="minorHAnsi"/>
          <w:color w:val="000000"/>
          <w:sz w:val="20"/>
          <w:szCs w:val="20"/>
          <w:lang w:eastAsia="de-DE"/>
        </w:rPr>
        <w:t xml:space="preserve">                                                </w:t>
      </w:r>
      <w:r w:rsidRPr="00841476">
        <w:rPr>
          <w:rFonts w:eastAsia="Times New Roman" w:cstheme="minorHAnsi"/>
          <w:color w:val="000000"/>
          <w:sz w:val="20"/>
          <w:szCs w:val="20"/>
          <w:lang w:eastAsia="de-DE"/>
        </w:rPr>
        <w:t>AGB</w:t>
      </w:r>
    </w:p>
    <w:p w:rsidR="00585B70" w:rsidRPr="00841476" w:rsidRDefault="00585B70" w:rsidP="00585B70">
      <w:pPr>
        <w:shd w:val="clear" w:color="auto" w:fill="FFFFFF"/>
        <w:spacing w:before="300" w:after="150" w:line="240" w:lineRule="auto"/>
        <w:outlineLvl w:val="2"/>
        <w:rPr>
          <w:rFonts w:eastAsia="Times New Roman" w:cstheme="minorHAnsi"/>
          <w:color w:val="000000"/>
          <w:sz w:val="20"/>
          <w:szCs w:val="20"/>
          <w:lang w:eastAsia="de-DE"/>
        </w:rPr>
      </w:pPr>
      <w:r w:rsidRPr="00841476">
        <w:rPr>
          <w:rFonts w:eastAsia="Times New Roman" w:cstheme="minorHAnsi"/>
          <w:color w:val="000000"/>
          <w:sz w:val="20"/>
          <w:szCs w:val="20"/>
          <w:lang w:eastAsia="de-DE"/>
        </w:rPr>
        <w:t>Allgemeine Verkaufs- und Lieferbedingungen der Unternehmen der European Staal Germany Gruppe</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br/>
      </w:r>
      <w:r w:rsidRPr="00841476">
        <w:rPr>
          <w:rFonts w:eastAsia="Times New Roman" w:cstheme="minorHAnsi"/>
          <w:b/>
          <w:bCs/>
          <w:color w:val="000000"/>
          <w:sz w:val="20"/>
          <w:szCs w:val="20"/>
          <w:lang w:eastAsia="de-DE"/>
        </w:rPr>
        <w:t>I. Geltung, Angebote</w:t>
      </w:r>
      <w:r w:rsidRPr="00841476">
        <w:rPr>
          <w:rFonts w:eastAsia="Times New Roman" w:cstheme="minorHAnsi"/>
          <w:color w:val="000000"/>
          <w:sz w:val="20"/>
          <w:szCs w:val="20"/>
          <w:lang w:eastAsia="de-DE"/>
        </w:rPr>
        <w:br/>
      </w:r>
    </w:p>
    <w:p w:rsidR="00585B70" w:rsidRPr="00841476" w:rsidRDefault="00585B70" w:rsidP="00585B70">
      <w:pPr>
        <w:numPr>
          <w:ilvl w:val="0"/>
          <w:numId w:val="1"/>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Diese Allgemeinen Verkaufs- und Lieferbedingungen gelten für alle - auch zukünftigen - Verträge mit Unternehmern, jur. Personen des öffentlichen Rechts und öffentlichrechtlichen Sondervermögen über Lieferungen und sonstige Leistungen unter Einschluss von Werkverträgen und der Lieferung nicht vertretbarer Sachen. Bei Streckengeschäften gelten ergänzend die Bedingungen des beauftragten Lieferwerks. Einkaufsbedingungen des Käufers werden auch dann nicht anerkannt, wenn wir ihnen nicht noch einmal nach Eingang ausdrücklich widersprechen.</w:t>
      </w:r>
    </w:p>
    <w:p w:rsidR="00585B70" w:rsidRPr="00841476" w:rsidRDefault="00585B70" w:rsidP="00585B70">
      <w:pPr>
        <w:numPr>
          <w:ilvl w:val="0"/>
          <w:numId w:val="1"/>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Unsere Angebote sind freibleibend. Mündliche Vereinbarungen, Zusagen, Zusicherungen und Garantien unserer Angestellten im Zusammenhang mit dem Vertragsschluss werden erst durch unsere schriftliche Bestätigung verbindlich.</w:t>
      </w:r>
    </w:p>
    <w:p w:rsidR="00585B70" w:rsidRPr="00841476" w:rsidRDefault="00585B70" w:rsidP="00585B70">
      <w:pPr>
        <w:numPr>
          <w:ilvl w:val="0"/>
          <w:numId w:val="1"/>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Maßgebend für die Auslegung von Handelsklauseln sind im Zweifel die Incoterms in ihrer jeweils neuesten Fassung.</w:t>
      </w:r>
    </w:p>
    <w:p w:rsidR="00585B70" w:rsidRPr="00841476" w:rsidRDefault="00585B70" w:rsidP="00585B70">
      <w:pPr>
        <w:numPr>
          <w:ilvl w:val="0"/>
          <w:numId w:val="1"/>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Sofern von Käufern die Rede ist, so gelten die Bedingungen auch für den Besteller bei Werkverträgen.</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br/>
      </w:r>
      <w:r w:rsidRPr="00841476">
        <w:rPr>
          <w:rFonts w:eastAsia="Times New Roman" w:cstheme="minorHAnsi"/>
          <w:b/>
          <w:bCs/>
          <w:color w:val="000000"/>
          <w:sz w:val="20"/>
          <w:szCs w:val="20"/>
          <w:lang w:eastAsia="de-DE"/>
        </w:rPr>
        <w:t>II. Preise</w:t>
      </w:r>
      <w:r w:rsidRPr="00841476">
        <w:rPr>
          <w:rFonts w:eastAsia="Times New Roman" w:cstheme="minorHAnsi"/>
          <w:color w:val="000000"/>
          <w:sz w:val="20"/>
          <w:szCs w:val="20"/>
          <w:lang w:eastAsia="de-DE"/>
        </w:rPr>
        <w:br/>
      </w:r>
    </w:p>
    <w:p w:rsidR="00585B70" w:rsidRPr="00841476" w:rsidRDefault="00585B70" w:rsidP="00585B70">
      <w:pPr>
        <w:numPr>
          <w:ilvl w:val="0"/>
          <w:numId w:val="2"/>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Falls nichts Anderes vereinbart, gelten die Preise und Bedingungen unserer bei Vertragsschluss gültigen Preisliste.</w:t>
      </w:r>
    </w:p>
    <w:p w:rsidR="00585B70" w:rsidRPr="00841476" w:rsidRDefault="00585B70" w:rsidP="00585B70">
      <w:pPr>
        <w:numPr>
          <w:ilvl w:val="0"/>
          <w:numId w:val="2"/>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Ändern sich später als vier Wochen nach Vertragsschluss Abgaben oder andere Fremdkosten, die im vereinbarten Preis enthalten sind oder entstehen sie neu, sind wir im entsprechenden Umfang zu einer Preisänderung berechtigt.</w:t>
      </w:r>
    </w:p>
    <w:p w:rsidR="00585B70" w:rsidRPr="00841476" w:rsidRDefault="00585B70" w:rsidP="00585B70">
      <w:pPr>
        <w:numPr>
          <w:ilvl w:val="0"/>
          <w:numId w:val="2"/>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Wir behalten uns für noch nicht gelieferte Mengen eine Erhöhung des vereinbarten Preises vor, wenn aufgrund einer Änderung der Rohstoff- und/oder Wirtschaftslage Umstände eintreten, die die Herstellung und/oder den Einkauf des betreffenden Erzeugnisses konkret unvorhersehbar wesentlich gegenüber dem Zeitpunkt der Preisvereinbarungen verteuern. Die Preiserhöhung beschränkt sich auf die tatsächliche Kostenveränderung des betreffenden Kalkulationsbestandteils und wird dem Käufer umgehend schriftlich mitgeteilt. Als „wesentlich“ im Sinne dieser Regelung ist dabei mindestens die Steigerung eines kalkulatorischen Bestandteils um 10% anzusehen.</w:t>
      </w:r>
    </w:p>
    <w:p w:rsidR="00585B70" w:rsidRPr="00841476" w:rsidRDefault="00585B70" w:rsidP="00585B70">
      <w:pPr>
        <w:numPr>
          <w:ilvl w:val="0"/>
          <w:numId w:val="2"/>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Der Käufer ist innerhalb von zwei Wochen nach Erhalt der Mitteilung der Preisanpassung unter Ausschluss weitergehender Rechte zur schriftlichen außerordentlichen Kündigung und zum Rücktritt berechtigt.</w:t>
      </w:r>
    </w:p>
    <w:p w:rsidR="00585B70" w:rsidRPr="00841476" w:rsidRDefault="00585B70" w:rsidP="00585B70">
      <w:pPr>
        <w:numPr>
          <w:ilvl w:val="0"/>
          <w:numId w:val="2"/>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Vorstehendes (II. Nr. 1 - Nr.4) gilt entsprechend ausdrücklich auch für Streckengeschäfte und Rahmenverträge.</w:t>
      </w:r>
    </w:p>
    <w:p w:rsidR="00585B70" w:rsidRPr="00841476" w:rsidRDefault="00585B70" w:rsidP="00585B70">
      <w:pPr>
        <w:numPr>
          <w:ilvl w:val="0"/>
          <w:numId w:val="2"/>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Bei im Auftrag des Kunden speziell nach dessen Vorgaben hergestellten Produkten ergeben sich die Kündigungs-und Rücktrittsrechte des vorstehenden II Nr. 4 erst bei einer Erhöhung des Preises von mindestens 25%.</w:t>
      </w:r>
    </w:p>
    <w:p w:rsidR="00585B70" w:rsidRPr="00841476" w:rsidRDefault="00585B70" w:rsidP="00585B70">
      <w:pPr>
        <w:shd w:val="clear" w:color="auto" w:fill="FFFFFF"/>
        <w:spacing w:after="15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lastRenderedPageBreak/>
        <w:t> </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b/>
          <w:bCs/>
          <w:color w:val="000000"/>
          <w:sz w:val="20"/>
          <w:szCs w:val="20"/>
          <w:lang w:eastAsia="de-DE"/>
        </w:rPr>
        <w:t>III. Zahlung und Verrechnung</w:t>
      </w:r>
      <w:r w:rsidRPr="00841476">
        <w:rPr>
          <w:rFonts w:eastAsia="Times New Roman" w:cstheme="minorHAnsi"/>
          <w:color w:val="000000"/>
          <w:sz w:val="20"/>
          <w:szCs w:val="20"/>
          <w:lang w:eastAsia="de-DE"/>
        </w:rPr>
        <w:br/>
      </w:r>
    </w:p>
    <w:p w:rsidR="00585B70" w:rsidRPr="00841476" w:rsidRDefault="00585B70" w:rsidP="00585B70">
      <w:pPr>
        <w:numPr>
          <w:ilvl w:val="0"/>
          <w:numId w:val="3"/>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Sofern nicht anders vereinbart oder in unseren Rechnungen angegeben, ist der Kaufpreis sofort nach Lieferung ohne Skontoabzug fällig und in der Weise zu zahlen, dass wir am Fälligkeitstag über den Betrag verfügen können. Die Kosten des Zahlungsverkehrs trägt der Käufer.</w:t>
      </w:r>
    </w:p>
    <w:p w:rsidR="00585B70" w:rsidRPr="00841476" w:rsidRDefault="00585B70" w:rsidP="00585B70">
      <w:pPr>
        <w:numPr>
          <w:ilvl w:val="0"/>
          <w:numId w:val="3"/>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Bei Überschreitung des Zahlungsziels, spätestens ab Verzug, berechnen wir Zinsen in Höhe von neun Prozentpunkten über dem Basiszinssatz, es sei denn, höhere Zinssätze sind vereinbart. Die Geltendmachung eines weiteren Verzugsschadens bleibt vorbehalten.</w:t>
      </w:r>
    </w:p>
    <w:p w:rsidR="00585B70" w:rsidRPr="00841476" w:rsidRDefault="00585B70" w:rsidP="00585B70">
      <w:pPr>
        <w:numPr>
          <w:ilvl w:val="0"/>
          <w:numId w:val="3"/>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Der Käufer kommt spätestens 10 Tage nach Fälligkeit unserer Forderung in Verzug, ohne dass es einer Mahnung bedarf.</w:t>
      </w:r>
    </w:p>
    <w:p w:rsidR="00585B70" w:rsidRPr="00841476" w:rsidRDefault="00585B70" w:rsidP="00585B70">
      <w:pPr>
        <w:numPr>
          <w:ilvl w:val="0"/>
          <w:numId w:val="3"/>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Wird nach Abschluss des Vertrages erkennbar, dass unser Zahlungsanspruch durch mangelnde Zahlungsfähigkeit des Käufers gefährdet wird, oder gerät der Käufer mit einem erheblichen Betrag in Zahlungsverzug oder treten andere Umstände ein, die auf eine wesentliche Verschlechterung der Zahlungsfähigkeit des Käufers nach Vertragsschluss schließen lassen, stehen uns die Rechte aus § 321 BGB zu. Wir sind dann auch berechtigt, alle noch nicht fälligen Forderungen aus der laufenden Geschäftsverbindung mit dem Käufer fällig zu stellen. Die Unsicherheitseinrede erstreckt sich auf alle weiteren ausstehenden Lieferungen und Leistungen aus der Geschäftsverbindung mit dem Käufer.</w:t>
      </w:r>
    </w:p>
    <w:p w:rsidR="00585B70" w:rsidRPr="00841476" w:rsidRDefault="00585B70" w:rsidP="00585B70">
      <w:pPr>
        <w:numPr>
          <w:ilvl w:val="0"/>
          <w:numId w:val="3"/>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Ein Zurückbehaltungsrecht und eine Aufrechnungsbefugnis stehen dem Käufer nur insoweit zu, wie seine Gegenansprüche unbestritten oder rechtskräftig festgestellt sind.</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br/>
      </w:r>
      <w:r w:rsidRPr="00841476">
        <w:rPr>
          <w:rFonts w:eastAsia="Times New Roman" w:cstheme="minorHAnsi"/>
          <w:b/>
          <w:bCs/>
          <w:color w:val="000000"/>
          <w:sz w:val="20"/>
          <w:szCs w:val="20"/>
          <w:lang w:eastAsia="de-DE"/>
        </w:rPr>
        <w:t>IV. Ausführung der Lieferungen</w:t>
      </w:r>
      <w:r w:rsidRPr="00841476">
        <w:rPr>
          <w:rFonts w:eastAsia="Times New Roman" w:cstheme="minorHAnsi"/>
          <w:color w:val="000000"/>
          <w:sz w:val="20"/>
          <w:szCs w:val="20"/>
          <w:lang w:eastAsia="de-DE"/>
        </w:rPr>
        <w:br/>
      </w:r>
    </w:p>
    <w:p w:rsidR="00585B70" w:rsidRPr="00841476" w:rsidRDefault="00585B70" w:rsidP="00585B70">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Unsere Lieferverpflichtung steht unter dem Vorbehalt richtiger und rechtzeitiger Selbstbelieferung, es sei denn, die nicht richtige oder verspätete Selbstbelieferung ist durch uns verschuldet.</w:t>
      </w:r>
    </w:p>
    <w:p w:rsidR="00585B70" w:rsidRPr="00841476" w:rsidRDefault="00585B70" w:rsidP="00585B70">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Angaben zu Lieferzeiten sind annähernd. Lieferfristen beginnen mit dem Datum unserer Auftragsbestätigung und gelten nur unter der Voraussetzung rechtzeitiger Klarstellung aller Einzelheiten des Auftrages und rechtzeitiger Erfüllung aller Verpflichtungen des Käufers, wie z.B. Beibringung aller behördlichen Bescheinigungen, Gestellung von Akkreditiven und Garantien oder Leistung von Anzahlungen.</w:t>
      </w:r>
    </w:p>
    <w:p w:rsidR="00585B70" w:rsidRPr="00841476" w:rsidRDefault="00585B70" w:rsidP="00585B70">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Für die Einhaltung von Lieferfristen und -terminen ist der Zeitpunkt der Absendung ab Werk oder Lager maßgebend. Sie gelten mit Meldung der Versandbereitschaft als eingehalten, wenn die Ware ohne unser Verschulden nicht rechtzeitig abgesendet werden kann.</w:t>
      </w:r>
    </w:p>
    <w:p w:rsidR="00585B70" w:rsidRPr="00841476" w:rsidRDefault="00585B70" w:rsidP="00585B70">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Im Falle des Lieferverzugs kann uns der Käufer eine angemessene Nachfrist setzen und nach deren erfolglosem Ablauf insoweit vom Vertrag zurücktreten, als der Vertrag noch nicht erfüllt ist. Schadenersatzansprüche richten sich in solchen Fällen nach Abschnitt X dieser Bedingungen.</w:t>
      </w:r>
    </w:p>
    <w:p w:rsidR="00585B70" w:rsidRPr="00841476" w:rsidRDefault="00585B70" w:rsidP="00585B70">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Lieferfristen verlängern sich in angemessenem Umfang bei Maßnahmen im Rahmen von Arbeitskämpfen, insbesondere Streik und Aussperrung sowie bei Eintritt unvorhersehbarer Hindernisse, die außerhalb unserer Einwirkungsmöglichkeiten liegen, soweit solche Hindernisse nachweislich auf die Fertigung oder Ablieferung des Liefergegenstandes von erheblichem Einfluss sind. Dies gilt auch, wenn die Umstände bei Vorlieferanten eintreten. Derartige Umstände teilen wir dem Käufer unverzüglich mit. Diese Regelungen gelten entsprechend für Liefertermine. Wird die Durchführung des Vertrages für eine der Parteien unzumutbar, so kann sie insoweit vom Vertrag zurücktreten.</w:t>
      </w:r>
    </w:p>
    <w:p w:rsidR="00585B70" w:rsidRPr="00841476" w:rsidRDefault="00585B70" w:rsidP="00585B70">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lastRenderedPageBreak/>
        <w:t>Bei langfristigen Lieferverträgen für Bauobjekte verpflichtet sich der Auftraggeber spätestens innerhalb von 2 Monaten nach Auftragsdatum mit der Abnahme des Materials zu beginnen. Wir liefern im Rahmen des Baustellenfortschrittes, nur nach vorliegenden geprüften Bewehrungsplänen und setzen eine kontinuierliche Abnahme bzw. Belieferung über den vereinbarten Vertragszeitraum voraus. Andernfalls behalten wir uns eine Preisanpassung vor.</w:t>
      </w:r>
    </w:p>
    <w:p w:rsidR="00585B70" w:rsidRPr="00841476" w:rsidRDefault="00585B70" w:rsidP="00585B70">
      <w:pPr>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b/>
          <w:bCs/>
          <w:color w:val="000000"/>
          <w:sz w:val="20"/>
          <w:szCs w:val="20"/>
          <w:lang w:eastAsia="de-DE"/>
        </w:rPr>
        <w:t>Aufgrund der Coronavirus-Pandemie stehen alle unsere Liefer- und Leistungsverpflichtungen unter Vorbehalt. Die Corona Pandemie kann im Einzelfall als höhere Gewalt und unabwendbares Ereignis angesehen werden, für das wir keine Haftung übernehmen. Dies gilt insbesondere bei Einschränkungen unseres Geschäftsbetriebs (Produktion, Anarbeitung, Lagerlogistik), weil uns durch die Maßnahmen, die zur Eindämmung der Pandemie führen sollen, nicht ausreichend Arbeitskräfte zur Verfügung stehen oder unsere Vorlieferanten und Dienstleister nicht mehr oder nicht rechtzeitig zur Vertragserfüllung in der Lage sind. Aus diesen Gründen müssen unter Umständen einzelne Verträge unter dem Gesichtspunkt der sog. "Störung der Geschäftsgrundlage" angepasst oder aufgehoben werden.</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br/>
      </w:r>
      <w:r w:rsidRPr="00841476">
        <w:rPr>
          <w:rFonts w:eastAsia="Times New Roman" w:cstheme="minorHAnsi"/>
          <w:b/>
          <w:bCs/>
          <w:color w:val="000000"/>
          <w:sz w:val="20"/>
          <w:szCs w:val="20"/>
          <w:lang w:eastAsia="de-DE"/>
        </w:rPr>
        <w:t>V. Eigentumsvorbehalt</w:t>
      </w:r>
      <w:r w:rsidRPr="00841476">
        <w:rPr>
          <w:rFonts w:eastAsia="Times New Roman" w:cstheme="minorHAnsi"/>
          <w:color w:val="000000"/>
          <w:sz w:val="20"/>
          <w:szCs w:val="20"/>
          <w:lang w:eastAsia="de-DE"/>
        </w:rPr>
        <w:br/>
      </w:r>
    </w:p>
    <w:p w:rsidR="00585B70" w:rsidRPr="00841476" w:rsidRDefault="00585B70" w:rsidP="00585B70">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Alle gelieferten Waren bleiben unser Eigentum (Vorbehaltsware) bis zur Erfüllung sämtlicher Forderungen, insbesondere auch der jeweiligen Saldoforderungen, die uns im Rahmen der Geschäftsbeziehung zustehen (Saldovorbehalt). Dies gilt auch für künftig entstehende und bedingte Forderungen, z.B. aus Akzeptantenwechseln, und auch, wenn Zahlungen auf besonders bezeichnete Forderungen geleistet werden. Dieser Saldovorbehalt erlischt endgültig mit dem Ausgleich aller im Zeitpunkt der Zahlung noch offenen und von diesem Saldovorbehalt erfassten Forderungen.</w:t>
      </w:r>
    </w:p>
    <w:p w:rsidR="00585B70" w:rsidRPr="00841476" w:rsidRDefault="00585B70" w:rsidP="00585B70">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Be- und Verarbeitung der Vorbehaltsware erfolgen für uns als Hersteller im Sinne von § 950 BGB, ohne uns zu verpflichten. Die be- und verarbeitete Ware gilt als Vorbehaltsware im Sinne der Nr. 1. Bei Verarbeitung, Verbindung und Vermischung der Vorbehaltsware mit anderen Waren durch den Käufer steht uns das Miteigentum anteilig an der neuen Sache zu im Verhältnis des Rechnungswertes der Vorbehaltsware zum Rechnungswert der anderen verwendeten Waren. Erlischt unser Eigentum durch Verbindung oder Vermischung, so überträgt der Käufer uns bereits jetzt die ihm zustehenden Eigentumsrechte an dem neuen Bestand oder der Sache im Umfang des Rechnungswertes der Vorbehaltsware und verwahrt sie unentgeltlich für uns. Unsere Miteigentumsrechte gelten als Vorbehaltsware im Sinne der Nr. 1.</w:t>
      </w:r>
    </w:p>
    <w:p w:rsidR="00585B70" w:rsidRPr="00841476" w:rsidRDefault="00585B70" w:rsidP="00585B70">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Der Käufer darf die Vorbehaltsware nur im gewöhnlichen Geschäftsverkehr zu seinen normalen Geschäftsbedingungen und solange er nicht in Verzug ist, veräußern, vorausgesetzt, dass die Forderungen aus der Weiterveräußerung gem. Nrn. 4 bis 6 auf uns übergehen. Zu anderen Verfügungen über die Vorbehaltsware ist er nicht berechtigt.</w:t>
      </w:r>
    </w:p>
    <w:p w:rsidR="00585B70" w:rsidRPr="00841476" w:rsidRDefault="00585B70" w:rsidP="00585B70">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Die Forderungen aus der Weiterveräußerung der Vorbehaltsware werden zusammen mit sämtlichen Sicherheiten, die der Käufer für die Forderung erwirbt, bereits jetzt an uns abgetreten. Sie dienen in demselben Umfang zur Sicherung wie die Vorbehaltsware. Wird die Vorbehaltsware vom Käufer zusammen mit anderen, nicht von uns verkauften Waren veräußert, so wird uns die Forderung aus der Weiterveräußerung im Verhältnis des Rechnungswertes der Vorbehaltsware zum Rechnungswert der anderen verkauften Waren abgetreten. Bei der Veräußerung von Waren, an denen wir Miteigentumsanteile gem. Nr. 2 haben, wird uns ein unserem Miteigentumsanteil entsprechender Teil abgetreten.</w:t>
      </w:r>
    </w:p>
    <w:p w:rsidR="00585B70" w:rsidRPr="00841476" w:rsidRDefault="00585B70" w:rsidP="00585B70">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 xml:space="preserve">Der Käufer ist berechtigt, Forderungen aus der Weiterveräußerung einzuziehen. Diese Einziehungsermächtigung erlischt im Falle unseres Widerrufs, spätestens aber bei Zahlungsverzug, Nichteinlösung eines Wechsels oder Antrag auf Eröffnung eines Insolvenzverfahrens. Von unserem Widerrufsrecht werden wir nur dann Gebrauch machen, wenn nach Abschluss des Vertrages erkennbar wird, </w:t>
      </w:r>
      <w:r w:rsidRPr="00841476">
        <w:rPr>
          <w:rFonts w:eastAsia="Times New Roman" w:cstheme="minorHAnsi"/>
          <w:color w:val="000000"/>
          <w:sz w:val="20"/>
          <w:szCs w:val="20"/>
          <w:lang w:eastAsia="de-DE"/>
        </w:rPr>
        <w:lastRenderedPageBreak/>
        <w:t>dass unser Zahlungsanspruch aus diesem oder aus anderen Verträgen mit dem Käufer durch dessen mangelnde Zahlungsfähigkeit gefährdet wird. Auf unser Verlangen ist der Käufer verpflichtet, seine Abnehmer sofort von der Abtretung an uns zu unterrichten und uns die zur Einziehung erforderlichen Unterlagen zu geben.</w:t>
      </w:r>
    </w:p>
    <w:p w:rsidR="00585B70" w:rsidRPr="00841476" w:rsidRDefault="00585B70" w:rsidP="00585B70">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Von einer Pfändung oder sonstigen Beeinträchtigungen durch Dritte hat uns der Käufer unverzüglich zu unterrichten. Der Käufer trägt alle Kosten, die zur Aufhebung des Zugriffs oder zum Rücktransport der Vorbehaltsware aufgewendet werden müssen, soweit sie nicht von Dritten ersetzt werden.</w:t>
      </w:r>
    </w:p>
    <w:p w:rsidR="00585B70" w:rsidRPr="00841476" w:rsidRDefault="00585B70" w:rsidP="00585B70">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Gerät der Käufer in Zahlungsverzug oder löst er einen Wechsel bei Fälligkeit nicht ein, sind wir berechtigt, die Vorbehaltsware zurückzunehmen und zu diesem Zweck gegebenenfalls den Betrieb des Käufers zu betreten. Gleiches gilt, wenn nach Abschluss des Vertrages erkennbar wird, dass unser Zahlungsanspruch aus diesem Vertrag oder aus anderen Verträgen mit dem Käufer durch dessen mangelnde Zahlungsfähigkeit gefährdet wird. Die Rücknahme ist kein Rücktritt vom Vertrag. Vorschriften der Insolvenzordnung bleiben unberührt.</w:t>
      </w:r>
    </w:p>
    <w:p w:rsidR="00585B70" w:rsidRPr="00841476" w:rsidRDefault="00585B70" w:rsidP="00585B70">
      <w:pPr>
        <w:numPr>
          <w:ilvl w:val="0"/>
          <w:numId w:val="5"/>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Übersteigt der Rechnungswert der bestehenden Sicherheiten die gesicherten Forderungen einschließlich Nebenforderungen (Zinsen; Kosten o.ä.) insgesamt um mehr als 50 v.H., sind wir auf Verlangen des Käufers insoweit zur Freigabe von Sicherheiten nach unserer Wahl verpflichtet.</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br/>
      </w:r>
      <w:r w:rsidRPr="00841476">
        <w:rPr>
          <w:rFonts w:eastAsia="Times New Roman" w:cstheme="minorHAnsi"/>
          <w:b/>
          <w:bCs/>
          <w:color w:val="000000"/>
          <w:sz w:val="20"/>
          <w:szCs w:val="20"/>
          <w:lang w:eastAsia="de-DE"/>
        </w:rPr>
        <w:t>VI. Güten, Maße und Gewichte</w:t>
      </w:r>
      <w:r w:rsidRPr="00841476">
        <w:rPr>
          <w:rFonts w:eastAsia="Times New Roman" w:cstheme="minorHAnsi"/>
          <w:color w:val="000000"/>
          <w:sz w:val="20"/>
          <w:szCs w:val="20"/>
          <w:lang w:eastAsia="de-DE"/>
        </w:rPr>
        <w:br/>
      </w:r>
    </w:p>
    <w:p w:rsidR="00585B70" w:rsidRPr="00841476" w:rsidRDefault="00585B70" w:rsidP="00585B70">
      <w:pPr>
        <w:numPr>
          <w:ilvl w:val="0"/>
          <w:numId w:val="6"/>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Güten und Maße bestimmen sich nach den bei Vertragsschluss geltenden DIN-/EN-Normen bzw. Werkstoffblättern, mangels solcher nach Handelsbrauch. Bezugnahmen auf Normen, Werkstoffblätter oder Werks-Prüfbescheinigungen sowie Angaben zu Güten, Maßen, Gewichten und Verwendbarkeit sind keine Beschaffenheitsangaben, Zusicherungen oder Garantien, ebenso wenig Konformitätserklärungen, Herstellererklärungen und entsprechende Kennzeichen wie CE und GS.</w:t>
      </w:r>
    </w:p>
    <w:p w:rsidR="00585B70" w:rsidRPr="00841476" w:rsidRDefault="00585B70" w:rsidP="00585B70">
      <w:pPr>
        <w:numPr>
          <w:ilvl w:val="0"/>
          <w:numId w:val="6"/>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Das Material wird –je nach Anfrage verzinkungsfähig nach DIN EN ISO 1461 geliefert. Die chemische Zusammensetzung, der Oberflächenzustand sowie die Verzinkungsbedingungen beeinflussen Aussehen, Dicke, Aufbau und die physikalischen/mechanischen Eigenschaften des Zinküberzugs. Die chem. Werte sind in den Werkszeugnissen zu ersehen und vor dem Verarbeiten bzw. Verzinken des Materials mit der Verzinkerei abzustimmen. Rückstände auf dem Material durch Beschriftungen (Fettstifte, Kleber von Schildern u.a.) bedürfen vor der Verzinkung einer Reinigung durch den Kunden. Eine Gewähr für die Ausführung der Verzinkung wird nicht übernommen.</w:t>
      </w:r>
    </w:p>
    <w:p w:rsidR="00585B70" w:rsidRPr="00841476" w:rsidRDefault="00585B70" w:rsidP="00585B70">
      <w:pPr>
        <w:numPr>
          <w:ilvl w:val="0"/>
          <w:numId w:val="6"/>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Für die Gewichte ist die von uns oder unserem Vorlieferanten vorgenommene Verwiegung maßgebend. Der Gewichtsnachweis erfolgt durch Vorlage des Wiegezettels. Soweit rechtlich zulässig, können Gewichte ohne Wägung nach Norm ermittelt werden. Unberührt bleiben die im Stahlhandel der Bundesrepublik Deutschland üblichen Zu- und Abschläge (Handelsgewichte). In der Versandanzeige angegebene Stückzahlen, Bundzahlen o.a. sind bei nach Gewicht berechneten Waren unverbindlich. Sofern nicht üblicherweise eine Einzelverwiegung erfolgt, gilt jeweils das Gesamtgewicht der Sendung. Unterschiede gegenüber den rechnerischen Einzelgewichten werden verhältnismäßig auf diese verteilt.</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br/>
      </w:r>
      <w:r w:rsidRPr="00841476">
        <w:rPr>
          <w:rFonts w:eastAsia="Times New Roman" w:cstheme="minorHAnsi"/>
          <w:b/>
          <w:bCs/>
          <w:color w:val="000000"/>
          <w:sz w:val="20"/>
          <w:szCs w:val="20"/>
          <w:lang w:eastAsia="de-DE"/>
        </w:rPr>
        <w:t>VII. Abnahmen</w:t>
      </w:r>
      <w:r w:rsidRPr="00841476">
        <w:rPr>
          <w:rFonts w:eastAsia="Times New Roman" w:cstheme="minorHAnsi"/>
          <w:color w:val="000000"/>
          <w:sz w:val="20"/>
          <w:szCs w:val="20"/>
          <w:lang w:eastAsia="de-DE"/>
        </w:rPr>
        <w:br/>
      </w:r>
    </w:p>
    <w:p w:rsidR="00585B70" w:rsidRPr="00841476" w:rsidRDefault="00585B70" w:rsidP="00585B70">
      <w:pPr>
        <w:numPr>
          <w:ilvl w:val="0"/>
          <w:numId w:val="7"/>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lastRenderedPageBreak/>
        <w:t>Wenn eine Abnahme vereinbart ist, kann sie nur in dem Lieferwerk bzw. unserem Lager sofort nach Meldung der Abnahmebereitschaft erfolgen. Die persönlichen Abnahmekosten trägt der Käufer, die sachlichen Abnahmekosten werden nach unserer Preisliste oder der Preisliste des Lieferwerkes berechnet.</w:t>
      </w:r>
    </w:p>
    <w:p w:rsidR="00585B70" w:rsidRPr="00841476" w:rsidRDefault="00585B70" w:rsidP="00585B70">
      <w:pPr>
        <w:numPr>
          <w:ilvl w:val="0"/>
          <w:numId w:val="7"/>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Erfolgt die Abnahme ohne unser Verschulden nicht, nicht rechtzeitig oder nicht vollständig, sind wir berechtigt, die Ware ohne Abnahme zu versenden oder auf Kosten und Gefahr des Käufers zu lagern und ihm zu berechnen.</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br/>
      </w:r>
      <w:r w:rsidRPr="00841476">
        <w:rPr>
          <w:rFonts w:eastAsia="Times New Roman" w:cstheme="minorHAnsi"/>
          <w:b/>
          <w:bCs/>
          <w:color w:val="000000"/>
          <w:sz w:val="20"/>
          <w:szCs w:val="20"/>
          <w:lang w:eastAsia="de-DE"/>
        </w:rPr>
        <w:t>VIII. Versand, Gefahrübergang, Verpackung, Teillieferung</w:t>
      </w:r>
      <w:r w:rsidRPr="00841476">
        <w:rPr>
          <w:rFonts w:eastAsia="Times New Roman" w:cstheme="minorHAnsi"/>
          <w:color w:val="000000"/>
          <w:sz w:val="20"/>
          <w:szCs w:val="20"/>
          <w:lang w:eastAsia="de-DE"/>
        </w:rPr>
        <w:br/>
      </w:r>
    </w:p>
    <w:p w:rsidR="00585B70" w:rsidRPr="00841476" w:rsidRDefault="00585B70" w:rsidP="00585B70">
      <w:pPr>
        <w:numPr>
          <w:ilvl w:val="0"/>
          <w:numId w:val="8"/>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Wir bestimmen Versandweg und – mittel sowie Spediteur und Frachtführer. Vertragsgemäß versandfertig gemeldete Ware muss unverzüglich abgerufen werden, anderenfalls sind wir berechtigt, sie nach Mahnung auf Kosten und Gefahr des Käufers nach unserer Wahl zu versenden oder nach eigenem Ermessen zu lagern und sofort zu berechnen.</w:t>
      </w:r>
    </w:p>
    <w:p w:rsidR="00585B70" w:rsidRPr="00841476" w:rsidRDefault="00585B70" w:rsidP="00585B70">
      <w:pPr>
        <w:numPr>
          <w:ilvl w:val="0"/>
          <w:numId w:val="8"/>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Wird ohne unser Verschulden der Transport auf dem vorgesehenen Weg oder zu dem vorgesehenen Ort in der vorgesehenen Zeit unmöglich oder wesentlich erschwert, so sind wir berechtigt, auf einem anderen Weg oder zu einem anderen Ort zu liefern; die entstehenden Mehrkosten trägt der Käufer. Dem Käufer wird vorher Gelegenheit zur Stellungnahme gegeben.</w:t>
      </w:r>
    </w:p>
    <w:p w:rsidR="00585B70" w:rsidRPr="00841476" w:rsidRDefault="00585B70" w:rsidP="00585B70">
      <w:pPr>
        <w:numPr>
          <w:ilvl w:val="0"/>
          <w:numId w:val="8"/>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Mit der Übergabe der Ware an den Spediteur oder Frachtführer, spätestens jedoch mit Verlassen des Lagers oder des Lieferwerks geht die Gefahr, auch die einer Beschlagnahme der Ware, bei allen Geschäften auch bei franko- und frei –Haus-Lieferungen, auf den Käufer über. In Fällen der Selbstabholung geht die Gefahr dann über, wenn die Ware dem Käufer zur Verfügung gestellt wird. Für Versicherung sorgen wir nur auf Weisung und Kosten des Käufers. Pflicht und Kosten der Entladung gehen zu Lasten des Käufers.</w:t>
      </w:r>
    </w:p>
    <w:p w:rsidR="00585B70" w:rsidRPr="00841476" w:rsidRDefault="00585B70" w:rsidP="00585B70">
      <w:pPr>
        <w:numPr>
          <w:ilvl w:val="0"/>
          <w:numId w:val="8"/>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Die Ware wird unverpackt und nicht gegen Rost geschützt geliefert. Falls handelsüblich, liefern wir verpackt. Für Verpackung, Schutz- und/oder Transporthilfsmittel sorgen wir nach unserer Erfahrung auf Kosten des Käufers. Sie werden an unserem Lager zurückgenommen. Kosten des Käufers für den Rücktransport oder für eine eigene Entsorgung der Verpackung übernehmen wir nicht.</w:t>
      </w:r>
    </w:p>
    <w:p w:rsidR="00585B70" w:rsidRPr="00841476" w:rsidRDefault="00585B70" w:rsidP="00585B70">
      <w:pPr>
        <w:numPr>
          <w:ilvl w:val="0"/>
          <w:numId w:val="8"/>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Wir sind zu Teillieferungen in zumutbarem Umfang berechtigt. Branchenübliche Mehr- und Minderlieferungen der abgeschlossenen Menge sind zulässig.</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br/>
      </w:r>
      <w:r w:rsidRPr="00841476">
        <w:rPr>
          <w:rFonts w:eastAsia="Times New Roman" w:cstheme="minorHAnsi"/>
          <w:b/>
          <w:bCs/>
          <w:color w:val="000000"/>
          <w:sz w:val="20"/>
          <w:szCs w:val="20"/>
          <w:lang w:eastAsia="de-DE"/>
        </w:rPr>
        <w:t>IX. Haftung für Sachmängel</w:t>
      </w:r>
      <w:r w:rsidRPr="00841476">
        <w:rPr>
          <w:rFonts w:eastAsia="Times New Roman" w:cstheme="minorHAnsi"/>
          <w:color w:val="000000"/>
          <w:sz w:val="20"/>
          <w:szCs w:val="20"/>
          <w:lang w:eastAsia="de-DE"/>
        </w:rPr>
        <w:br/>
      </w:r>
    </w:p>
    <w:p w:rsidR="00585B70" w:rsidRPr="00841476" w:rsidRDefault="00585B70" w:rsidP="00585B70">
      <w:pPr>
        <w:numPr>
          <w:ilvl w:val="0"/>
          <w:numId w:val="9"/>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Sachmängel sind unverzüglich schriftlich anzuzeigen. Handelt es sich für beide Parteien um ein Handelsgeschäft, ist der § 377 HGB zu beachten und einzuhalten. Sachmängel, die auch bei sorgfältigster Prüfung innerhalb dieser Frist nicht entdeckt werden können, sind - unter sofortiger Einstellung etwaiger Be- und Verarbeitung - unverzüglich nach Entdeckung, spätestens vor Ablauf der vereinbarten oder gesetzlichen Verjährungsfrist schriftlich anzuzeigen.</w:t>
      </w:r>
    </w:p>
    <w:p w:rsidR="00585B70" w:rsidRPr="00841476" w:rsidRDefault="00585B70" w:rsidP="00585B70">
      <w:pPr>
        <w:numPr>
          <w:ilvl w:val="0"/>
          <w:numId w:val="9"/>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Bei berechtigter, fristgemäßer Mängelrüge können wir nach unserer Wahl den Mangel beseitigen oder eine mangelfreie Ware liefern (Nacherfüllung). Bei Fehlschlagen oder Verweigerung der Nacherfüllung kann der Käufer nach erfolglosem Ablauf einer angemessenen Frist vom Vertrag zurücktreten oder den Kaufpreis mindern. Ist der Mangel nicht erheblich oder ist die Ware bereits veräußert, verarbeitet oder umgestaltet, steht ihm nur das Minderungsrecht zu.</w:t>
      </w:r>
    </w:p>
    <w:p w:rsidR="00585B70" w:rsidRPr="00841476" w:rsidRDefault="00585B70" w:rsidP="00585B70">
      <w:pPr>
        <w:numPr>
          <w:ilvl w:val="0"/>
          <w:numId w:val="9"/>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lastRenderedPageBreak/>
        <w:t>Aufwendungen im Zusammenhang mit der Nacherfüllung übernehmen wir nur, soweit sie im Einzelfall, insbesondere im Verhältnis zum Kaufpreis der Ware, angemessen sind, keinesfalls aber über 150 % des Kaufpreises. Weitere Aufwendungen, z.B. im Zusammenhang mit dem Ein- und Ausbau der mangelhaften Sache übernehmen wir nur nach Maßgabe des Abschnitts X dieser Bedingungen.</w:t>
      </w:r>
    </w:p>
    <w:p w:rsidR="00585B70" w:rsidRPr="00841476" w:rsidRDefault="00585B70" w:rsidP="00585B70">
      <w:pPr>
        <w:numPr>
          <w:ilvl w:val="0"/>
          <w:numId w:val="9"/>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Nach Durchführung einer vereinbarten Abnahme der Ware durch den Käufer ist die Rüge von Sachmängeln, die bei der vereinbarten Art der Abnahme feststellbar waren, ausgeschlossen. Ist dem Käufer ein Mangel infolge Fahrlässigkeit unbekannt geblieben, kann er Rechte wegen dieses Mangels nur geltend machen, wenn wir den Mangel arglistig verschwiegen oder eine Garantie für die Beschaffenheit der Sache übernommen haben.</w:t>
      </w:r>
    </w:p>
    <w:p w:rsidR="00585B70" w:rsidRPr="00841476" w:rsidRDefault="00585B70" w:rsidP="00585B70">
      <w:pPr>
        <w:numPr>
          <w:ilvl w:val="0"/>
          <w:numId w:val="9"/>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Gibt der Käufer uns nicht unverzüglich Gelegenheit, uns von dem Sachmangel zu überzeugen, stellt er insbesondere auf Verlangen die beanstandete Ware oder Proben davon nicht unverzüglich zu Prüfzwecken zur Verfügung, entfallen alle Rechte wegen des Sachmangels.</w:t>
      </w:r>
    </w:p>
    <w:p w:rsidR="00585B70" w:rsidRPr="00841476" w:rsidRDefault="00585B70" w:rsidP="00585B70">
      <w:pPr>
        <w:numPr>
          <w:ilvl w:val="0"/>
          <w:numId w:val="9"/>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Bei Waren, die als deklassiertes Material verkauft worden sind, stehen dem Käufer bezüglich der angegebenen Deklassierungsgründe und solcher Mängel, mit denen er üblicherweise zu rechnen hat, keine Rechte wegen des Sachmangels zu. Beim Verkauf von IIa-Ware ist unsere Haftung wegen Sachmängeln ausgeschlossen.</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br/>
      </w:r>
      <w:r w:rsidRPr="00841476">
        <w:rPr>
          <w:rFonts w:eastAsia="Times New Roman" w:cstheme="minorHAnsi"/>
          <w:b/>
          <w:bCs/>
          <w:color w:val="000000"/>
          <w:sz w:val="20"/>
          <w:szCs w:val="20"/>
          <w:lang w:eastAsia="de-DE"/>
        </w:rPr>
        <w:t>X. Allgemeine Haftungsbegrenzung und Verjährung</w:t>
      </w:r>
      <w:r w:rsidRPr="00841476">
        <w:rPr>
          <w:rFonts w:eastAsia="Times New Roman" w:cstheme="minorHAnsi"/>
          <w:color w:val="000000"/>
          <w:sz w:val="20"/>
          <w:szCs w:val="20"/>
          <w:lang w:eastAsia="de-DE"/>
        </w:rPr>
        <w:br/>
      </w:r>
    </w:p>
    <w:p w:rsidR="00585B70" w:rsidRPr="00841476" w:rsidRDefault="00585B70" w:rsidP="00585B70">
      <w:pPr>
        <w:numPr>
          <w:ilvl w:val="0"/>
          <w:numId w:val="10"/>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Wegen Verletzung vertraglicher und außervertraglicher Pflichten, insbesondere wegen Unmöglichkeit, Verzug, Verschulden bei Vertragsanbahnung und unerlaubter Handlung haften wir - auch für unsere leitenden Angestellten und sonstigen Erfüllungsgehilfen - nur in Fällen des Vorsatzes und der groben Fahrlässigkeit, beschränkt auf den bei Vertragsschluss voraussehbaren vertragstypischen Schaden. Im Übrigen ist unsere Haftung, auch für Mangel- und Mangelfolgeschäden, ausgeschlossen.</w:t>
      </w:r>
    </w:p>
    <w:p w:rsidR="00585B70" w:rsidRPr="00841476" w:rsidRDefault="00585B70" w:rsidP="00585B70">
      <w:pPr>
        <w:numPr>
          <w:ilvl w:val="0"/>
          <w:numId w:val="10"/>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Diese Beschränkungen gelten nicht bei schuldhaftem Verstoß gegen wesentliche Vertragspflichten, soweit die Erreichung des Vertragszwecks gefährdet wird, bei schuldhaft herbeigeführten Schäden des Lebens, des Körpers und der Gesundheit und auch dann nicht, wenn und soweit wir die Garantie für die Beschaffenheit für die verkaufte Sache übernommen haben sowie in Fällen zwingender Haftung nach dem Produkthaftungsgesetz. Die Regeln über die Beweislast bleiben hiervon unberührt.</w:t>
      </w:r>
    </w:p>
    <w:p w:rsidR="00585B70" w:rsidRPr="00841476" w:rsidRDefault="00585B70" w:rsidP="00585B70">
      <w:pPr>
        <w:numPr>
          <w:ilvl w:val="0"/>
          <w:numId w:val="10"/>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Soweit nichts Anderes vereinbart, verjähren vertragliche Ansprüche, die dem Käufer gegen uns aus Anlass und im Zusammenhang mit der Lieferung der Ware entstehen, ein Jahr nach Ablieferung der Ware. Diese Frist gilt auch für solche Waren, die entsprechend ihrer üblichen Verwendungsweise für ein Bauwerk verwendet werden und dessen Mangelhaftigkeit verursacht haben, es sei denn, diese Verwendungsweise wurde schriftlich vereinbart. Davon unberührt bleiben unsere Haftung aus vorsätzlichen und grob fahrlässigen Pflichtverletzungen, schuldhaft herbeigeführten Schäden des Lebens, des Körpers und der Gesundheit sowie die Verjährung von Rückgriffsansprüchen nach §§ 478, 479 BGB.</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br/>
      </w:r>
      <w:r w:rsidRPr="00841476">
        <w:rPr>
          <w:rFonts w:eastAsia="Times New Roman" w:cstheme="minorHAnsi"/>
          <w:b/>
          <w:bCs/>
          <w:color w:val="000000"/>
          <w:sz w:val="20"/>
          <w:szCs w:val="20"/>
          <w:lang w:eastAsia="de-DE"/>
        </w:rPr>
        <w:t>XI. Erfüllungsort, Gerichtsstand und anzuwendendes Recht</w:t>
      </w:r>
      <w:r w:rsidRPr="00841476">
        <w:rPr>
          <w:rFonts w:eastAsia="Times New Roman" w:cstheme="minorHAnsi"/>
          <w:color w:val="000000"/>
          <w:sz w:val="20"/>
          <w:szCs w:val="20"/>
          <w:lang w:eastAsia="de-DE"/>
        </w:rPr>
        <w:br/>
      </w:r>
    </w:p>
    <w:p w:rsidR="00585B70" w:rsidRPr="00841476" w:rsidRDefault="00585B70" w:rsidP="00585B70">
      <w:pPr>
        <w:numPr>
          <w:ilvl w:val="0"/>
          <w:numId w:val="11"/>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Erfüllungsort ist bei Lieferung ab Werk der Ort des Lieferwerkes, bei den übrigen Lieferungen unser Lager.</w:t>
      </w:r>
    </w:p>
    <w:p w:rsidR="00585B70" w:rsidRPr="00841476" w:rsidRDefault="00585B70" w:rsidP="00585B70">
      <w:pPr>
        <w:numPr>
          <w:ilvl w:val="0"/>
          <w:numId w:val="11"/>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 xml:space="preserve">Für alle Rechtsbeziehungen zwischen uns und dem Käufer gilt in Ergänzung zu diesen Bedingungen deutsches Recht. Die Bestimmungen des Wiener UN-Übereinkommens vom 11. April 1980 über Verträge </w:t>
      </w:r>
      <w:r w:rsidRPr="00841476">
        <w:rPr>
          <w:rFonts w:eastAsia="Times New Roman" w:cstheme="minorHAnsi"/>
          <w:color w:val="000000"/>
          <w:sz w:val="20"/>
          <w:szCs w:val="20"/>
          <w:lang w:eastAsia="de-DE"/>
        </w:rPr>
        <w:lastRenderedPageBreak/>
        <w:t>über den internationalen Warenkauf (CISG) finden mit der Maßgabe Anwendung, dass unsere Haftung entsprechend den Abschnitten X und XI dieser Bedingungen beschränkt ist.</w:t>
      </w:r>
    </w:p>
    <w:p w:rsidR="00585B70" w:rsidRPr="00841476" w:rsidRDefault="00585B70" w:rsidP="00585B70">
      <w:pPr>
        <w:numPr>
          <w:ilvl w:val="0"/>
          <w:numId w:val="11"/>
        </w:numPr>
        <w:shd w:val="clear" w:color="auto" w:fill="FFFFFF"/>
        <w:spacing w:before="100" w:beforeAutospacing="1" w:after="100" w:afterAutospacing="1"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Gerichtsstand ist nach unserer Wahl der Sitz unseres Unternehmens oder der Sitz des Käufers.</w:t>
      </w:r>
    </w:p>
    <w:p w:rsidR="00585B70" w:rsidRPr="00841476" w:rsidRDefault="00585B70" w:rsidP="00585B70">
      <w:pPr>
        <w:shd w:val="clear" w:color="auto" w:fill="FFFFFF"/>
        <w:spacing w:after="0" w:line="240" w:lineRule="auto"/>
        <w:rPr>
          <w:rFonts w:eastAsia="Times New Roman" w:cstheme="minorHAnsi"/>
          <w:color w:val="000000"/>
          <w:sz w:val="20"/>
          <w:szCs w:val="20"/>
          <w:lang w:eastAsia="de-DE"/>
        </w:rPr>
      </w:pPr>
      <w:r w:rsidRPr="00841476">
        <w:rPr>
          <w:rFonts w:eastAsia="Times New Roman" w:cstheme="minorHAnsi"/>
          <w:color w:val="000000"/>
          <w:sz w:val="20"/>
          <w:szCs w:val="20"/>
          <w:lang w:eastAsia="de-DE"/>
        </w:rPr>
        <w:t> </w:t>
      </w:r>
      <w:r w:rsidRPr="00841476">
        <w:rPr>
          <w:rFonts w:eastAsia="Times New Roman" w:cstheme="minorHAnsi"/>
          <w:color w:val="000000"/>
          <w:sz w:val="20"/>
          <w:szCs w:val="20"/>
          <w:lang w:eastAsia="de-DE"/>
        </w:rPr>
        <w:br/>
      </w:r>
      <w:r w:rsidRPr="00841476">
        <w:rPr>
          <w:rFonts w:eastAsia="Times New Roman" w:cstheme="minorHAnsi"/>
          <w:color w:val="000000"/>
          <w:sz w:val="20"/>
          <w:szCs w:val="20"/>
          <w:lang w:eastAsia="de-DE"/>
        </w:rPr>
        <w:br/>
        <w:t>Stand Juni 2025</w:t>
      </w:r>
    </w:p>
    <w:p w:rsidR="00585B70" w:rsidRPr="00841476" w:rsidRDefault="00585B70" w:rsidP="00585B70">
      <w:pPr>
        <w:rPr>
          <w:rFonts w:cstheme="minorHAnsi"/>
          <w:sz w:val="20"/>
          <w:szCs w:val="20"/>
        </w:rPr>
      </w:pPr>
    </w:p>
    <w:p w:rsidR="00F76F80" w:rsidRDefault="00DC6F45"/>
    <w:sectPr w:rsidR="00F76F80" w:rsidSect="00841476">
      <w:headerReference w:type="even" r:id="rId7"/>
      <w:headerReference w:type="default" r:id="rId8"/>
      <w:footerReference w:type="even" r:id="rId9"/>
      <w:footerReference w:type="default" r:id="rId10"/>
      <w:headerReference w:type="first" r:id="rId11"/>
      <w:footerReference w:type="first" r:id="rId12"/>
      <w:pgSz w:w="11906" w:h="16838"/>
      <w:pgMar w:top="700" w:right="900" w:bottom="7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F45" w:rsidRDefault="00DC6F45" w:rsidP="00585B70">
      <w:pPr>
        <w:spacing w:after="0" w:line="240" w:lineRule="auto"/>
      </w:pPr>
      <w:r>
        <w:separator/>
      </w:r>
    </w:p>
  </w:endnote>
  <w:endnote w:type="continuationSeparator" w:id="0">
    <w:p w:rsidR="00DC6F45" w:rsidRDefault="00DC6F45" w:rsidP="0058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76" w:rsidRDefault="00DC6F4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193"/>
      <w:gridCol w:w="3193"/>
    </w:tblGrid>
    <w:tr w:rsidR="00841476" w:rsidTr="00841476">
      <w:trPr>
        <w:trHeight w:val="160"/>
      </w:trPr>
      <w:tc>
        <w:tcPr>
          <w:tcW w:w="3193" w:type="dxa"/>
          <w:shd w:val="clear" w:color="auto" w:fill="auto"/>
        </w:tcPr>
        <w:p w:rsidR="00841476" w:rsidRPr="00841476" w:rsidRDefault="00DC6F45" w:rsidP="00841476">
          <w:pPr>
            <w:pStyle w:val="Fuzeile"/>
            <w:ind w:right="-600"/>
            <w:rPr>
              <w:sz w:val="12"/>
            </w:rPr>
          </w:pPr>
        </w:p>
      </w:tc>
      <w:tc>
        <w:tcPr>
          <w:tcW w:w="3193" w:type="dxa"/>
          <w:shd w:val="clear" w:color="auto" w:fill="auto"/>
        </w:tcPr>
        <w:p w:rsidR="00841476" w:rsidRPr="00841476" w:rsidRDefault="00DC6F45" w:rsidP="00841476">
          <w:pPr>
            <w:pStyle w:val="Fuzeile"/>
            <w:ind w:right="-600"/>
            <w:rPr>
              <w:sz w:val="12"/>
            </w:rPr>
          </w:pPr>
        </w:p>
      </w:tc>
      <w:tc>
        <w:tcPr>
          <w:tcW w:w="3193" w:type="dxa"/>
          <w:shd w:val="clear" w:color="auto" w:fill="auto"/>
        </w:tcPr>
        <w:p w:rsidR="00841476" w:rsidRPr="00841476" w:rsidRDefault="00DC6F45" w:rsidP="00841476">
          <w:pPr>
            <w:pStyle w:val="Fuzeile"/>
            <w:ind w:right="-600"/>
            <w:rPr>
              <w:sz w:val="12"/>
            </w:rPr>
          </w:pPr>
        </w:p>
      </w:tc>
    </w:tr>
    <w:tr w:rsidR="00841476" w:rsidTr="00841476">
      <w:trPr>
        <w:trHeight w:val="160"/>
      </w:trPr>
      <w:tc>
        <w:tcPr>
          <w:tcW w:w="3193" w:type="dxa"/>
          <w:shd w:val="clear" w:color="auto" w:fill="auto"/>
        </w:tcPr>
        <w:p w:rsidR="00841476" w:rsidRPr="00841476" w:rsidRDefault="00DC6F45" w:rsidP="00841476">
          <w:pPr>
            <w:pStyle w:val="Fuzeile"/>
            <w:ind w:right="-600"/>
            <w:rPr>
              <w:sz w:val="12"/>
            </w:rPr>
          </w:pPr>
        </w:p>
      </w:tc>
      <w:tc>
        <w:tcPr>
          <w:tcW w:w="3193" w:type="dxa"/>
          <w:shd w:val="clear" w:color="auto" w:fill="auto"/>
        </w:tcPr>
        <w:p w:rsidR="00841476" w:rsidRPr="00841476" w:rsidRDefault="00DC6F45" w:rsidP="00841476">
          <w:pPr>
            <w:pStyle w:val="Fuzeile"/>
            <w:ind w:right="-600"/>
            <w:rPr>
              <w:sz w:val="12"/>
            </w:rPr>
          </w:pPr>
        </w:p>
      </w:tc>
      <w:tc>
        <w:tcPr>
          <w:tcW w:w="3193" w:type="dxa"/>
          <w:shd w:val="clear" w:color="auto" w:fill="auto"/>
        </w:tcPr>
        <w:p w:rsidR="00841476" w:rsidRPr="00841476" w:rsidRDefault="00DC6F45" w:rsidP="00841476">
          <w:pPr>
            <w:pStyle w:val="Fuzeile"/>
            <w:ind w:right="-600"/>
            <w:rPr>
              <w:sz w:val="12"/>
            </w:rPr>
          </w:pPr>
        </w:p>
      </w:tc>
    </w:tr>
    <w:tr w:rsidR="00841476" w:rsidTr="00841476">
      <w:trPr>
        <w:trHeight w:val="160"/>
      </w:trPr>
      <w:tc>
        <w:tcPr>
          <w:tcW w:w="3193" w:type="dxa"/>
          <w:shd w:val="clear" w:color="auto" w:fill="auto"/>
        </w:tcPr>
        <w:p w:rsidR="00841476" w:rsidRPr="00841476" w:rsidRDefault="00DC6F45" w:rsidP="00841476">
          <w:pPr>
            <w:pStyle w:val="Fuzeile"/>
            <w:ind w:right="-600"/>
            <w:rPr>
              <w:sz w:val="12"/>
            </w:rPr>
          </w:pPr>
        </w:p>
      </w:tc>
      <w:tc>
        <w:tcPr>
          <w:tcW w:w="3193" w:type="dxa"/>
          <w:shd w:val="clear" w:color="auto" w:fill="auto"/>
        </w:tcPr>
        <w:p w:rsidR="00841476" w:rsidRPr="00841476" w:rsidRDefault="00DC6F45" w:rsidP="00841476">
          <w:pPr>
            <w:pStyle w:val="Fuzeile"/>
            <w:ind w:right="-600"/>
            <w:rPr>
              <w:sz w:val="12"/>
            </w:rPr>
          </w:pPr>
        </w:p>
      </w:tc>
      <w:tc>
        <w:tcPr>
          <w:tcW w:w="3193" w:type="dxa"/>
          <w:shd w:val="clear" w:color="auto" w:fill="auto"/>
        </w:tcPr>
        <w:p w:rsidR="00841476" w:rsidRPr="00841476" w:rsidRDefault="00DC6F45" w:rsidP="00841476">
          <w:pPr>
            <w:pStyle w:val="Fuzeile"/>
            <w:ind w:right="-600"/>
            <w:rPr>
              <w:sz w:val="12"/>
            </w:rPr>
          </w:pPr>
        </w:p>
      </w:tc>
    </w:tr>
    <w:tr w:rsidR="00841476" w:rsidTr="00841476">
      <w:trPr>
        <w:trHeight w:val="160"/>
      </w:trPr>
      <w:tc>
        <w:tcPr>
          <w:tcW w:w="3193" w:type="dxa"/>
          <w:shd w:val="clear" w:color="auto" w:fill="auto"/>
        </w:tcPr>
        <w:p w:rsidR="00841476" w:rsidRDefault="00DC6F45" w:rsidP="00841476">
          <w:pPr>
            <w:pStyle w:val="Fuzeile"/>
            <w:ind w:right="-600"/>
          </w:pPr>
        </w:p>
      </w:tc>
      <w:tc>
        <w:tcPr>
          <w:tcW w:w="3193" w:type="dxa"/>
          <w:shd w:val="clear" w:color="auto" w:fill="auto"/>
        </w:tcPr>
        <w:p w:rsidR="00841476" w:rsidRDefault="00DC6F45" w:rsidP="00841476">
          <w:pPr>
            <w:pStyle w:val="Fuzeile"/>
            <w:ind w:right="-600"/>
          </w:pPr>
        </w:p>
      </w:tc>
      <w:tc>
        <w:tcPr>
          <w:tcW w:w="3193" w:type="dxa"/>
          <w:shd w:val="clear" w:color="auto" w:fill="auto"/>
        </w:tcPr>
        <w:p w:rsidR="00841476" w:rsidRPr="00841476" w:rsidRDefault="00DC6F45" w:rsidP="00841476">
          <w:pPr>
            <w:pStyle w:val="Fuzeile"/>
            <w:ind w:right="-600"/>
            <w:rPr>
              <w:sz w:val="12"/>
            </w:rPr>
          </w:pPr>
        </w:p>
      </w:tc>
    </w:tr>
    <w:tr w:rsidR="00841476" w:rsidTr="00841476">
      <w:trPr>
        <w:trHeight w:val="160"/>
      </w:trPr>
      <w:tc>
        <w:tcPr>
          <w:tcW w:w="3193" w:type="dxa"/>
          <w:shd w:val="clear" w:color="auto" w:fill="auto"/>
        </w:tcPr>
        <w:p w:rsidR="00841476" w:rsidRDefault="00DC6F45" w:rsidP="00841476">
          <w:pPr>
            <w:pStyle w:val="Fuzeile"/>
            <w:ind w:right="-600"/>
          </w:pPr>
        </w:p>
      </w:tc>
      <w:tc>
        <w:tcPr>
          <w:tcW w:w="3193" w:type="dxa"/>
          <w:shd w:val="clear" w:color="auto" w:fill="auto"/>
        </w:tcPr>
        <w:p w:rsidR="00841476" w:rsidRDefault="00DC6F45" w:rsidP="00841476">
          <w:pPr>
            <w:pStyle w:val="Fuzeile"/>
            <w:ind w:right="-600"/>
          </w:pPr>
        </w:p>
      </w:tc>
      <w:tc>
        <w:tcPr>
          <w:tcW w:w="3193" w:type="dxa"/>
          <w:shd w:val="clear" w:color="auto" w:fill="auto"/>
        </w:tcPr>
        <w:p w:rsidR="00841476" w:rsidRPr="00841476" w:rsidRDefault="00DC6F45" w:rsidP="00841476">
          <w:pPr>
            <w:pStyle w:val="Fuzeile"/>
            <w:ind w:right="-600"/>
            <w:jc w:val="center"/>
            <w:rPr>
              <w:sz w:val="12"/>
            </w:rPr>
          </w:pPr>
        </w:p>
      </w:tc>
    </w:tr>
  </w:tbl>
  <w:p w:rsidR="00841476" w:rsidRDefault="00DC6F45" w:rsidP="00841476">
    <w:pPr>
      <w:pStyle w:val="Fuzeile"/>
      <w:ind w:left="-600" w:right="-6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76" w:rsidRDefault="00DC6F4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F45" w:rsidRDefault="00DC6F45" w:rsidP="00585B70">
      <w:pPr>
        <w:spacing w:after="0" w:line="240" w:lineRule="auto"/>
      </w:pPr>
      <w:r>
        <w:separator/>
      </w:r>
    </w:p>
  </w:footnote>
  <w:footnote w:type="continuationSeparator" w:id="0">
    <w:p w:rsidR="00DC6F45" w:rsidRDefault="00DC6F45" w:rsidP="0058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76" w:rsidRDefault="00DC6F4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2394"/>
      <w:gridCol w:w="405"/>
      <w:gridCol w:w="1990"/>
      <w:gridCol w:w="70"/>
      <w:gridCol w:w="740"/>
      <w:gridCol w:w="1589"/>
      <w:gridCol w:w="65"/>
      <w:gridCol w:w="744"/>
    </w:tblGrid>
    <w:tr w:rsidR="00841476" w:rsidTr="00841476">
      <w:trPr>
        <w:gridAfter w:val="2"/>
        <w:wAfter w:w="809" w:type="dxa"/>
        <w:trHeight w:val="200"/>
      </w:trPr>
      <w:tc>
        <w:tcPr>
          <w:tcW w:w="7587" w:type="dxa"/>
          <w:gridSpan w:val="4"/>
          <w:shd w:val="clear" w:color="auto" w:fill="auto"/>
        </w:tcPr>
        <w:p w:rsidR="00841476" w:rsidRPr="00841476" w:rsidRDefault="00DC6F45">
          <w:pPr>
            <w:pStyle w:val="Kopfzeile"/>
            <w:rPr>
              <w:b/>
              <w:sz w:val="36"/>
            </w:rPr>
          </w:pPr>
        </w:p>
      </w:tc>
      <w:tc>
        <w:tcPr>
          <w:tcW w:w="2399" w:type="dxa"/>
          <w:gridSpan w:val="3"/>
          <w:shd w:val="clear" w:color="auto" w:fill="auto"/>
        </w:tcPr>
        <w:p w:rsidR="00841476" w:rsidRDefault="00DC6F45" w:rsidP="00841476">
          <w:pPr>
            <w:pStyle w:val="Kopfzeile"/>
          </w:pPr>
        </w:p>
      </w:tc>
    </w:tr>
    <w:tr w:rsidR="00841476" w:rsidTr="00841476">
      <w:trPr>
        <w:gridAfter w:val="2"/>
        <w:wAfter w:w="809" w:type="dxa"/>
        <w:trHeight w:val="200"/>
      </w:trPr>
      <w:tc>
        <w:tcPr>
          <w:tcW w:w="7587" w:type="dxa"/>
          <w:gridSpan w:val="4"/>
          <w:shd w:val="clear" w:color="auto" w:fill="auto"/>
        </w:tcPr>
        <w:p w:rsidR="00841476" w:rsidRPr="00841476" w:rsidRDefault="00DC6F45">
          <w:pPr>
            <w:pStyle w:val="Kopfzeile"/>
            <w:rPr>
              <w:sz w:val="24"/>
            </w:rPr>
          </w:pPr>
        </w:p>
      </w:tc>
      <w:tc>
        <w:tcPr>
          <w:tcW w:w="2399" w:type="dxa"/>
          <w:gridSpan w:val="3"/>
          <w:shd w:val="clear" w:color="auto" w:fill="auto"/>
        </w:tcPr>
        <w:p w:rsidR="00841476" w:rsidRDefault="00DC6F45">
          <w:pPr>
            <w:pStyle w:val="Kopfzeile"/>
          </w:pPr>
        </w:p>
      </w:tc>
    </w:tr>
    <w:tr w:rsidR="00841476" w:rsidTr="00841476">
      <w:trPr>
        <w:gridAfter w:val="2"/>
        <w:wAfter w:w="809" w:type="dxa"/>
        <w:trHeight w:val="200"/>
      </w:trPr>
      <w:tc>
        <w:tcPr>
          <w:tcW w:w="2798" w:type="dxa"/>
          <w:shd w:val="clear" w:color="auto" w:fill="auto"/>
        </w:tcPr>
        <w:p w:rsidR="00841476" w:rsidRDefault="00DC6F45">
          <w:pPr>
            <w:pStyle w:val="Kopfzeile"/>
          </w:pPr>
          <w:bookmarkStart w:id="0" w:name="_GoBack"/>
        </w:p>
      </w:tc>
      <w:tc>
        <w:tcPr>
          <w:tcW w:w="2394" w:type="dxa"/>
          <w:shd w:val="clear" w:color="auto" w:fill="auto"/>
        </w:tcPr>
        <w:p w:rsidR="00841476" w:rsidRDefault="00DC6F45">
          <w:pPr>
            <w:pStyle w:val="Kopfzeile"/>
          </w:pPr>
        </w:p>
      </w:tc>
      <w:tc>
        <w:tcPr>
          <w:tcW w:w="2395" w:type="dxa"/>
          <w:gridSpan w:val="2"/>
          <w:shd w:val="clear" w:color="auto" w:fill="auto"/>
        </w:tcPr>
        <w:p w:rsidR="00841476" w:rsidRDefault="00DC6F45">
          <w:pPr>
            <w:pStyle w:val="Kopfzeile"/>
          </w:pPr>
        </w:p>
      </w:tc>
      <w:tc>
        <w:tcPr>
          <w:tcW w:w="2399" w:type="dxa"/>
          <w:gridSpan w:val="3"/>
          <w:shd w:val="clear" w:color="auto" w:fill="auto"/>
        </w:tcPr>
        <w:p w:rsidR="00841476" w:rsidRDefault="00DC6F45">
          <w:pPr>
            <w:pStyle w:val="Kopfzeile"/>
          </w:pPr>
        </w:p>
      </w:tc>
    </w:tr>
    <w:bookmarkEnd w:id="0"/>
    <w:tr w:rsidR="00841476" w:rsidTr="00841476">
      <w:trPr>
        <w:gridAfter w:val="1"/>
        <w:wAfter w:w="744" w:type="dxa"/>
        <w:trHeight w:val="200"/>
      </w:trPr>
      <w:tc>
        <w:tcPr>
          <w:tcW w:w="2798" w:type="dxa"/>
          <w:shd w:val="clear" w:color="auto" w:fill="auto"/>
        </w:tcPr>
        <w:p w:rsidR="00841476" w:rsidRPr="00841476" w:rsidRDefault="00DC6F45">
          <w:pPr>
            <w:pStyle w:val="Kopfzeile"/>
            <w:rPr>
              <w:sz w:val="20"/>
            </w:rPr>
          </w:pPr>
        </w:p>
      </w:tc>
      <w:tc>
        <w:tcPr>
          <w:tcW w:w="2799" w:type="dxa"/>
          <w:gridSpan w:val="2"/>
          <w:shd w:val="clear" w:color="auto" w:fill="auto"/>
        </w:tcPr>
        <w:p w:rsidR="00841476" w:rsidRPr="00841476" w:rsidRDefault="00DC6F45">
          <w:pPr>
            <w:pStyle w:val="Kopfzeile"/>
            <w:rPr>
              <w:sz w:val="20"/>
            </w:rPr>
          </w:pPr>
        </w:p>
      </w:tc>
      <w:tc>
        <w:tcPr>
          <w:tcW w:w="2060" w:type="dxa"/>
          <w:gridSpan w:val="2"/>
          <w:shd w:val="clear" w:color="auto" w:fill="auto"/>
        </w:tcPr>
        <w:p w:rsidR="00841476" w:rsidRPr="00841476" w:rsidRDefault="00DC6F45">
          <w:pPr>
            <w:pStyle w:val="Kopfzeile"/>
            <w:rPr>
              <w:sz w:val="20"/>
            </w:rPr>
          </w:pPr>
        </w:p>
      </w:tc>
      <w:tc>
        <w:tcPr>
          <w:tcW w:w="2394" w:type="dxa"/>
          <w:gridSpan w:val="3"/>
          <w:shd w:val="clear" w:color="auto" w:fill="auto"/>
        </w:tcPr>
        <w:p w:rsidR="00841476" w:rsidRDefault="00DC6F45">
          <w:pPr>
            <w:pStyle w:val="Kopfzeile"/>
          </w:pPr>
        </w:p>
      </w:tc>
    </w:tr>
    <w:tr w:rsidR="00841476" w:rsidTr="00841476">
      <w:trPr>
        <w:trHeight w:val="200"/>
      </w:trPr>
      <w:tc>
        <w:tcPr>
          <w:tcW w:w="2798" w:type="dxa"/>
          <w:shd w:val="clear" w:color="auto" w:fill="auto"/>
        </w:tcPr>
        <w:p w:rsidR="00841476" w:rsidRPr="00841476" w:rsidRDefault="00DC6F45">
          <w:pPr>
            <w:pStyle w:val="Kopfzeile"/>
            <w:rPr>
              <w:sz w:val="20"/>
            </w:rPr>
          </w:pPr>
        </w:p>
      </w:tc>
      <w:tc>
        <w:tcPr>
          <w:tcW w:w="2799" w:type="dxa"/>
          <w:gridSpan w:val="2"/>
          <w:shd w:val="clear" w:color="auto" w:fill="auto"/>
        </w:tcPr>
        <w:p w:rsidR="00841476" w:rsidRPr="00841476" w:rsidRDefault="00DC6F45">
          <w:pPr>
            <w:pStyle w:val="Kopfzeile"/>
            <w:rPr>
              <w:sz w:val="20"/>
            </w:rPr>
          </w:pPr>
        </w:p>
      </w:tc>
      <w:tc>
        <w:tcPr>
          <w:tcW w:w="2800" w:type="dxa"/>
          <w:gridSpan w:val="3"/>
          <w:shd w:val="clear" w:color="auto" w:fill="auto"/>
        </w:tcPr>
        <w:p w:rsidR="00841476" w:rsidRPr="00841476" w:rsidRDefault="00DC6F45">
          <w:pPr>
            <w:pStyle w:val="Kopfzeile"/>
            <w:rPr>
              <w:sz w:val="20"/>
            </w:rPr>
          </w:pPr>
        </w:p>
      </w:tc>
      <w:tc>
        <w:tcPr>
          <w:tcW w:w="2398" w:type="dxa"/>
          <w:gridSpan w:val="3"/>
          <w:shd w:val="clear" w:color="auto" w:fill="auto"/>
        </w:tcPr>
        <w:p w:rsidR="00841476" w:rsidRDefault="00DC6F45">
          <w:pPr>
            <w:pStyle w:val="Kopfzeile"/>
          </w:pPr>
        </w:p>
      </w:tc>
    </w:tr>
    <w:tr w:rsidR="00841476" w:rsidTr="00841476">
      <w:trPr>
        <w:gridAfter w:val="2"/>
        <w:wAfter w:w="809" w:type="dxa"/>
        <w:trHeight w:val="200"/>
      </w:trPr>
      <w:tc>
        <w:tcPr>
          <w:tcW w:w="2798" w:type="dxa"/>
          <w:shd w:val="clear" w:color="auto" w:fill="auto"/>
        </w:tcPr>
        <w:p w:rsidR="00841476" w:rsidRDefault="00DC6F45">
          <w:pPr>
            <w:pStyle w:val="Kopfzeile"/>
          </w:pPr>
        </w:p>
      </w:tc>
      <w:tc>
        <w:tcPr>
          <w:tcW w:w="2394" w:type="dxa"/>
          <w:shd w:val="clear" w:color="auto" w:fill="auto"/>
        </w:tcPr>
        <w:p w:rsidR="00841476" w:rsidRDefault="00DC6F45">
          <w:pPr>
            <w:pStyle w:val="Kopfzeile"/>
          </w:pPr>
        </w:p>
      </w:tc>
      <w:tc>
        <w:tcPr>
          <w:tcW w:w="2395" w:type="dxa"/>
          <w:gridSpan w:val="2"/>
          <w:shd w:val="clear" w:color="auto" w:fill="auto"/>
        </w:tcPr>
        <w:p w:rsidR="00841476" w:rsidRDefault="00DC6F45">
          <w:pPr>
            <w:pStyle w:val="Kopfzeile"/>
          </w:pPr>
        </w:p>
      </w:tc>
      <w:tc>
        <w:tcPr>
          <w:tcW w:w="2399" w:type="dxa"/>
          <w:gridSpan w:val="3"/>
          <w:vMerge w:val="restart"/>
          <w:shd w:val="clear" w:color="auto" w:fill="auto"/>
        </w:tcPr>
        <w:p w:rsidR="00841476" w:rsidRPr="00841476" w:rsidRDefault="00DC6F45">
          <w:pPr>
            <w:pStyle w:val="Kopfzeile"/>
            <w:rPr>
              <w:sz w:val="60"/>
            </w:rPr>
          </w:pPr>
        </w:p>
      </w:tc>
    </w:tr>
    <w:tr w:rsidR="00841476" w:rsidTr="00841476">
      <w:trPr>
        <w:gridAfter w:val="2"/>
        <w:wAfter w:w="809" w:type="dxa"/>
        <w:trHeight w:val="200"/>
      </w:trPr>
      <w:tc>
        <w:tcPr>
          <w:tcW w:w="2798" w:type="dxa"/>
          <w:shd w:val="clear" w:color="auto" w:fill="auto"/>
        </w:tcPr>
        <w:p w:rsidR="00841476" w:rsidRDefault="00DC6F45">
          <w:pPr>
            <w:pStyle w:val="Kopfzeile"/>
          </w:pPr>
        </w:p>
      </w:tc>
      <w:tc>
        <w:tcPr>
          <w:tcW w:w="2394" w:type="dxa"/>
          <w:shd w:val="clear" w:color="auto" w:fill="auto"/>
        </w:tcPr>
        <w:p w:rsidR="00841476" w:rsidRDefault="00DC6F45">
          <w:pPr>
            <w:pStyle w:val="Kopfzeile"/>
          </w:pPr>
        </w:p>
      </w:tc>
      <w:tc>
        <w:tcPr>
          <w:tcW w:w="2395" w:type="dxa"/>
          <w:gridSpan w:val="2"/>
          <w:shd w:val="clear" w:color="auto" w:fill="auto"/>
        </w:tcPr>
        <w:p w:rsidR="00841476" w:rsidRDefault="00DC6F45">
          <w:pPr>
            <w:pStyle w:val="Kopfzeile"/>
          </w:pPr>
        </w:p>
      </w:tc>
      <w:tc>
        <w:tcPr>
          <w:tcW w:w="2399" w:type="dxa"/>
          <w:gridSpan w:val="3"/>
          <w:vMerge/>
          <w:shd w:val="clear" w:color="auto" w:fill="auto"/>
        </w:tcPr>
        <w:p w:rsidR="00841476" w:rsidRPr="00841476" w:rsidRDefault="00DC6F45">
          <w:pPr>
            <w:pStyle w:val="Kopfzeile"/>
            <w:rPr>
              <w:sz w:val="60"/>
            </w:rPr>
          </w:pPr>
        </w:p>
      </w:tc>
    </w:tr>
    <w:tr w:rsidR="00841476" w:rsidTr="00841476">
      <w:trPr>
        <w:gridAfter w:val="2"/>
        <w:wAfter w:w="809" w:type="dxa"/>
        <w:trHeight w:val="200"/>
      </w:trPr>
      <w:tc>
        <w:tcPr>
          <w:tcW w:w="7587" w:type="dxa"/>
          <w:gridSpan w:val="4"/>
          <w:shd w:val="clear" w:color="auto" w:fill="auto"/>
        </w:tcPr>
        <w:p w:rsidR="00841476" w:rsidRPr="00841476" w:rsidRDefault="00DC6F45">
          <w:pPr>
            <w:pStyle w:val="Kopfzeile"/>
            <w:rPr>
              <w:sz w:val="14"/>
              <w:u w:val="single"/>
            </w:rPr>
          </w:pPr>
        </w:p>
      </w:tc>
      <w:tc>
        <w:tcPr>
          <w:tcW w:w="2399" w:type="dxa"/>
          <w:gridSpan w:val="3"/>
          <w:vMerge/>
          <w:shd w:val="clear" w:color="auto" w:fill="auto"/>
        </w:tcPr>
        <w:p w:rsidR="00841476" w:rsidRPr="00841476" w:rsidRDefault="00DC6F45">
          <w:pPr>
            <w:pStyle w:val="Kopfzeile"/>
            <w:rPr>
              <w:sz w:val="60"/>
            </w:rPr>
          </w:pPr>
        </w:p>
      </w:tc>
    </w:tr>
  </w:tbl>
  <w:p w:rsidR="00841476" w:rsidRDefault="00DC6F4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76" w:rsidRDefault="00DC6F4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9C2"/>
    <w:multiLevelType w:val="multilevel"/>
    <w:tmpl w:val="1080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1022E"/>
    <w:multiLevelType w:val="multilevel"/>
    <w:tmpl w:val="A932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72C01"/>
    <w:multiLevelType w:val="multilevel"/>
    <w:tmpl w:val="D246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4A5952"/>
    <w:multiLevelType w:val="multilevel"/>
    <w:tmpl w:val="B6B8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06550E"/>
    <w:multiLevelType w:val="multilevel"/>
    <w:tmpl w:val="6B587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C27F80"/>
    <w:multiLevelType w:val="multilevel"/>
    <w:tmpl w:val="59C0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A02EAB"/>
    <w:multiLevelType w:val="multilevel"/>
    <w:tmpl w:val="139A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AF0365"/>
    <w:multiLevelType w:val="multilevel"/>
    <w:tmpl w:val="B418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33C79"/>
    <w:multiLevelType w:val="multilevel"/>
    <w:tmpl w:val="65D4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E3567A"/>
    <w:multiLevelType w:val="multilevel"/>
    <w:tmpl w:val="7964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FD24B3"/>
    <w:multiLevelType w:val="multilevel"/>
    <w:tmpl w:val="5DE8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0"/>
  </w:num>
  <w:num w:numId="4">
    <w:abstractNumId w:val="10"/>
  </w:num>
  <w:num w:numId="5">
    <w:abstractNumId w:val="2"/>
  </w:num>
  <w:num w:numId="6">
    <w:abstractNumId w:val="4"/>
  </w:num>
  <w:num w:numId="7">
    <w:abstractNumId w:val="7"/>
  </w:num>
  <w:num w:numId="8">
    <w:abstractNumId w:val="5"/>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70"/>
    <w:rsid w:val="00585B70"/>
    <w:rsid w:val="008D3473"/>
    <w:rsid w:val="00CB34A5"/>
    <w:rsid w:val="00DC6F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058B2FA-7FA6-4D07-8E02-388EF8DF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5B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5B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5B70"/>
  </w:style>
  <w:style w:type="paragraph" w:styleId="Fuzeile">
    <w:name w:val="footer"/>
    <w:basedOn w:val="Standard"/>
    <w:link w:val="FuzeileZchn"/>
    <w:uiPriority w:val="99"/>
    <w:unhideWhenUsed/>
    <w:rsid w:val="00585B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5B70"/>
  </w:style>
  <w:style w:type="table" w:styleId="Tabellenraster">
    <w:name w:val="Table Grid"/>
    <w:basedOn w:val="NormaleTabelle"/>
    <w:uiPriority w:val="39"/>
    <w:rsid w:val="0058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2753</Words>
  <Characters>17344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HBL Holding GmbH</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Sobanski, Torsten</dc:creator>
  <cp:keywords/>
  <dc:description/>
  <cp:lastModifiedBy>Sobanski, Torsten</cp:lastModifiedBy>
  <cp:revision>1</cp:revision>
  <dcterms:created xsi:type="dcterms:W3CDTF">2025-07-02T06:00:00Z</dcterms:created>
  <dcterms:modified xsi:type="dcterms:W3CDTF">2025-07-02T06:01:00Z</dcterms:modified>
</cp:coreProperties>
</file>